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31D" w:rsidRDefault="00D7431D" w:rsidP="00047822">
      <w:pPr>
        <w:spacing w:after="0" w:line="260" w:lineRule="atLeast"/>
        <w:ind w:firstLine="0"/>
        <w:jc w:val="right"/>
        <w:rPr>
          <w:rFonts w:ascii="Verdana" w:hAnsi="Verdana"/>
          <w:sz w:val="20"/>
          <w:szCs w:val="20"/>
        </w:rPr>
      </w:pPr>
      <w:bookmarkStart w:id="0" w:name="_GoBack"/>
      <w:bookmarkEnd w:id="0"/>
    </w:p>
    <w:p w:rsidR="002B24D1" w:rsidRPr="00047822" w:rsidRDefault="00F8377B" w:rsidP="00047822">
      <w:pPr>
        <w:pStyle w:val="Nagwek1"/>
        <w:spacing w:after="0" w:line="260" w:lineRule="atLeas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Zasady postępowania</w:t>
      </w:r>
    </w:p>
    <w:p w:rsidR="00047822" w:rsidRPr="00047822" w:rsidRDefault="00047822" w:rsidP="00047822"/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zastrzega sobie prawo do unieważnienia ogłoszenia bez podania przyczyny,</w:t>
      </w:r>
    </w:p>
    <w:p w:rsid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może zwrócić się do Zamawiającego o wyjaśnienie treści ogłoszenia, jednak nie później niż 2 dni od ukazania się ogłoszenia, kierując wniosek na adres: </w:t>
      </w:r>
    </w:p>
    <w:p w:rsidR="00D70707" w:rsidRDefault="00D70707" w:rsidP="00D70707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D70707">
        <w:rPr>
          <w:rFonts w:ascii="Verdana" w:hAnsi="Verdana"/>
          <w:sz w:val="20"/>
          <w:szCs w:val="20"/>
        </w:rPr>
        <w:t>drogą elektroniczną na adres: kkorba@gddkia.gov.pl</w:t>
      </w:r>
    </w:p>
    <w:p w:rsid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z dopiskiem </w:t>
      </w:r>
      <w:r w:rsidR="0031718B">
        <w:rPr>
          <w:rFonts w:ascii="Verdana" w:eastAsia="Times New Roman" w:hAnsi="Verdana"/>
          <w:b/>
          <w:kern w:val="20"/>
          <w:sz w:val="20"/>
          <w:szCs w:val="20"/>
        </w:rPr>
        <w:t>O.Ki.F-2</w:t>
      </w:r>
      <w:r w:rsidR="0031718B" w:rsidRPr="006622B1">
        <w:rPr>
          <w:rFonts w:ascii="Verdana" w:eastAsia="Times New Roman" w:hAnsi="Verdana"/>
          <w:b/>
          <w:kern w:val="20"/>
          <w:sz w:val="20"/>
          <w:szCs w:val="20"/>
        </w:rPr>
        <w:t>.24</w:t>
      </w:r>
      <w:r w:rsidR="0031718B">
        <w:rPr>
          <w:rFonts w:ascii="Verdana" w:eastAsia="Times New Roman" w:hAnsi="Verdana"/>
          <w:b/>
          <w:kern w:val="20"/>
          <w:sz w:val="20"/>
          <w:szCs w:val="20"/>
        </w:rPr>
        <w:t>31.2.</w:t>
      </w:r>
      <w:r w:rsidR="0031718B" w:rsidRPr="006622B1">
        <w:rPr>
          <w:rFonts w:ascii="Verdana" w:eastAsia="Times New Roman" w:hAnsi="Verdana"/>
          <w:b/>
          <w:kern w:val="20"/>
          <w:sz w:val="20"/>
          <w:szCs w:val="20"/>
        </w:rPr>
        <w:t>202</w:t>
      </w:r>
      <w:r w:rsidR="0031718B">
        <w:rPr>
          <w:rFonts w:ascii="Verdana" w:eastAsia="Times New Roman" w:hAnsi="Verdana"/>
          <w:b/>
          <w:kern w:val="20"/>
          <w:sz w:val="20"/>
          <w:szCs w:val="20"/>
        </w:rPr>
        <w:t>2</w:t>
      </w:r>
      <w:r w:rsidR="0031718B" w:rsidRPr="006622B1">
        <w:rPr>
          <w:rFonts w:ascii="Verdana" w:eastAsia="Times New Roman" w:hAnsi="Verdana"/>
          <w:b/>
          <w:kern w:val="20"/>
          <w:sz w:val="20"/>
          <w:szCs w:val="20"/>
        </w:rPr>
        <w:t>.</w:t>
      </w:r>
      <w:r w:rsidR="0031718B">
        <w:rPr>
          <w:rFonts w:ascii="Verdana" w:eastAsia="Times New Roman" w:hAnsi="Verdana"/>
          <w:b/>
          <w:kern w:val="20"/>
          <w:sz w:val="20"/>
          <w:szCs w:val="20"/>
        </w:rPr>
        <w:t xml:space="preserve">kk </w:t>
      </w:r>
      <w:r w:rsidR="0031718B" w:rsidRPr="006622B1">
        <w:rPr>
          <w:rFonts w:ascii="Verdana" w:eastAsia="Times New Roman" w:hAnsi="Verdana"/>
          <w:b/>
          <w:kern w:val="20"/>
          <w:sz w:val="20"/>
          <w:szCs w:val="20"/>
        </w:rPr>
        <w:t xml:space="preserve"> </w:t>
      </w:r>
      <w:r w:rsidRPr="00FB5C2E">
        <w:rPr>
          <w:rFonts w:ascii="Verdana" w:hAnsi="Verdana"/>
          <w:b/>
          <w:sz w:val="20"/>
          <w:szCs w:val="20"/>
        </w:rPr>
        <w:t>PYTANIA</w:t>
      </w:r>
      <w:r w:rsidRPr="00047822">
        <w:rPr>
          <w:rFonts w:ascii="Verdana" w:hAnsi="Verdana"/>
          <w:sz w:val="20"/>
          <w:szCs w:val="20"/>
        </w:rPr>
        <w:t>,</w:t>
      </w:r>
    </w:p>
    <w:p w:rsidR="000975F0" w:rsidRDefault="00D731F4" w:rsidP="000975F0">
      <w:pPr>
        <w:pStyle w:val="Akapitzlist"/>
        <w:numPr>
          <w:ilvl w:val="0"/>
          <w:numId w:val="1"/>
        </w:numPr>
        <w:spacing w:after="0" w:line="260" w:lineRule="atLeast"/>
        <w:ind w:right="19" w:hanging="369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</w:t>
      </w:r>
      <w:r w:rsidR="00F425B2">
        <w:rPr>
          <w:rFonts w:ascii="Verdana" w:hAnsi="Verdana"/>
          <w:sz w:val="20"/>
          <w:szCs w:val="20"/>
        </w:rPr>
        <w:t xml:space="preserve"> </w:t>
      </w:r>
      <w:r w:rsidR="00C72D07">
        <w:rPr>
          <w:rFonts w:ascii="Verdana" w:hAnsi="Verdana"/>
          <w:sz w:val="20"/>
          <w:szCs w:val="20"/>
        </w:rPr>
        <w:t xml:space="preserve">nie </w:t>
      </w:r>
      <w:r w:rsidR="000975F0" w:rsidRPr="000975F0">
        <w:rPr>
          <w:rFonts w:ascii="Verdana" w:hAnsi="Verdana"/>
          <w:sz w:val="20"/>
          <w:szCs w:val="20"/>
        </w:rPr>
        <w:t>dopuszcza składani</w:t>
      </w:r>
      <w:r w:rsidR="00C72D07">
        <w:rPr>
          <w:rFonts w:ascii="Verdana" w:hAnsi="Verdana"/>
          <w:sz w:val="20"/>
          <w:szCs w:val="20"/>
        </w:rPr>
        <w:t>a</w:t>
      </w:r>
      <w:r w:rsidR="000975F0" w:rsidRPr="000975F0">
        <w:rPr>
          <w:rFonts w:ascii="Verdana" w:hAnsi="Verdana"/>
          <w:sz w:val="20"/>
          <w:szCs w:val="20"/>
        </w:rPr>
        <w:t xml:space="preserve"> ofert częściowych</w:t>
      </w:r>
      <w:r w:rsidR="000975F0">
        <w:rPr>
          <w:rFonts w:ascii="Verdana" w:hAnsi="Verdana"/>
          <w:sz w:val="20"/>
          <w:szCs w:val="20"/>
        </w:rPr>
        <w:t>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odrzuci ofertę Wykonawcy, w szczególności jeżeli:</w:t>
      </w:r>
    </w:p>
    <w:p w:rsidR="00350B6A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nie złożył Formularza Oferty; </w:t>
      </w:r>
    </w:p>
    <w:p w:rsidR="002B24D1" w:rsidRPr="00047822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Oferta zawiera rażąco niską cenę w stosunku do przedmiotu zamówienia lub w przypadku braku przedstawienia przez Wykonawcę dostatecznych wyjaśnień potwierdzających, że cena oferty zapewnia realizację zamówienia</w:t>
      </w:r>
    </w:p>
    <w:p w:rsidR="00047822" w:rsidRDefault="00047822" w:rsidP="00047822">
      <w:pPr>
        <w:spacing w:after="0" w:line="260" w:lineRule="atLeast"/>
        <w:ind w:left="709" w:right="4291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4) Oferta zawiera błędy w obliczeniu ceny </w:t>
      </w:r>
    </w:p>
    <w:p w:rsidR="002B24D1" w:rsidRPr="00047822" w:rsidRDefault="00047822" w:rsidP="00047822">
      <w:pPr>
        <w:spacing w:after="0" w:line="260" w:lineRule="atLeast"/>
        <w:ind w:left="709" w:right="4291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5) Oferta została złożona po terminie.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wpłynięcia do Zamawiającego ofert z jednakową najniższą ceną,</w:t>
      </w:r>
    </w:p>
    <w:p w:rsidR="002B24D1" w:rsidRPr="00047822" w:rsidRDefault="00047822" w:rsidP="00047822">
      <w:pPr>
        <w:spacing w:after="0" w:line="260" w:lineRule="atLeast"/>
        <w:ind w:left="403" w:right="71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Wykonawcy zostaną wezwani do złożenia ofert dodatkowych.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poprawi w ofercie:</w:t>
      </w:r>
    </w:p>
    <w:p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oczywiste omyłki pisarskie,</w:t>
      </w:r>
    </w:p>
    <w:p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oczywiste omyłki rachunkowe, z uwzględnieniem konsekwencji rachunkowych dokonanych poprawek, </w:t>
      </w:r>
      <w:r w:rsidRPr="00047822">
        <w:rPr>
          <w:rFonts w:ascii="Verdana" w:hAnsi="Verdana"/>
          <w:noProof/>
          <w:sz w:val="20"/>
          <w:szCs w:val="20"/>
        </w:rPr>
        <w:drawing>
          <wp:inline distT="0" distB="0" distL="0" distR="0">
            <wp:extent cx="39624" cy="12196"/>
            <wp:effectExtent l="0" t="0" r="0" b="0"/>
            <wp:docPr id="1543" name="Picture 15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3" name="Picture 1543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624" cy="121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47822">
        <w:rPr>
          <w:rFonts w:ascii="Verdana" w:hAnsi="Verdana"/>
          <w:sz w:val="20"/>
          <w:szCs w:val="20"/>
        </w:rPr>
        <w:t xml:space="preserve"> niezwłocznie zawiadamiając o tym wykonawcę, którego oferta została poprawiona.</w:t>
      </w:r>
    </w:p>
    <w:p w:rsidR="002B24D1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może wezwać Wykonawców we wskazanym terminie do wyjaśnienia treści oferty.</w:t>
      </w:r>
    </w:p>
    <w:p w:rsidR="002B24D1" w:rsidRPr="00047822" w:rsidRDefault="00A84E1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</w:t>
      </w:r>
      <w:r w:rsidR="00047822" w:rsidRPr="00047822">
        <w:rPr>
          <w:rFonts w:ascii="Verdana" w:hAnsi="Verdana"/>
          <w:sz w:val="20"/>
          <w:szCs w:val="20"/>
        </w:rPr>
        <w:t>bowiązek wykazania, że oferta nie zawiera rażąco niskiej ceny spoczywa na wykona</w:t>
      </w:r>
      <w:r>
        <w:rPr>
          <w:rFonts w:ascii="Verdana" w:hAnsi="Verdana"/>
          <w:sz w:val="20"/>
          <w:szCs w:val="20"/>
        </w:rPr>
        <w:t>wcy.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 postępowania wykluczeni zostaną Wykonawcy, którzy w ciągu ostatnich 3 lat przed wszczęciem postępowania wyrządzili szkodę nie wykonując zamówienia lub wykonując je nienależycie, a szkoda ta nie została dobrowolnie naprawiona do dnia wszczęcia postępowania, chyba że niewykonanie lub nienależyte wykonanie jest następstwem okoliczności, za które wykonawca nie ponosi odpowiedzialności.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gdy Wykonawca, którego oferta została wybrana, uchyli się od podpisania umowy Zamawiający wybierze ofertę najkorzystniejszą spośród pozostałych złożonych ofert.</w:t>
      </w:r>
    </w:p>
    <w:sectPr w:rsidR="002B24D1" w:rsidRPr="00047822" w:rsidSect="00C72D07">
      <w:pgSz w:w="11904" w:h="16834"/>
      <w:pgMar w:top="1135" w:right="1454" w:bottom="1440" w:left="131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A5BA4"/>
    <w:multiLevelType w:val="hybridMultilevel"/>
    <w:tmpl w:val="BB4A9A1E"/>
    <w:lvl w:ilvl="0" w:tplc="2004B284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00A8832">
      <w:start w:val="1"/>
      <w:numFmt w:val="bullet"/>
      <w:lvlText w:val="o"/>
      <w:lvlJc w:val="left"/>
      <w:pPr>
        <w:ind w:left="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09C2386">
      <w:start w:val="1"/>
      <w:numFmt w:val="bullet"/>
      <w:lvlRestart w:val="0"/>
      <w:lvlText w:val="•"/>
      <w:lvlJc w:val="left"/>
      <w:pPr>
        <w:ind w:left="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C8EC9FA">
      <w:start w:val="1"/>
      <w:numFmt w:val="bullet"/>
      <w:lvlText w:val="•"/>
      <w:lvlJc w:val="left"/>
      <w:pPr>
        <w:ind w:left="2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3C6E5A4">
      <w:start w:val="1"/>
      <w:numFmt w:val="bullet"/>
      <w:lvlText w:val="o"/>
      <w:lvlJc w:val="left"/>
      <w:pPr>
        <w:ind w:left="2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79ED7B6">
      <w:start w:val="1"/>
      <w:numFmt w:val="bullet"/>
      <w:lvlText w:val="▪"/>
      <w:lvlJc w:val="left"/>
      <w:pPr>
        <w:ind w:left="3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0C6A848">
      <w:start w:val="1"/>
      <w:numFmt w:val="bullet"/>
      <w:lvlText w:val="•"/>
      <w:lvlJc w:val="left"/>
      <w:pPr>
        <w:ind w:left="4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D5EC8FE">
      <w:start w:val="1"/>
      <w:numFmt w:val="bullet"/>
      <w:lvlText w:val="o"/>
      <w:lvlJc w:val="left"/>
      <w:pPr>
        <w:ind w:left="5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AC23C3C">
      <w:start w:val="1"/>
      <w:numFmt w:val="bullet"/>
      <w:lvlText w:val="▪"/>
      <w:lvlJc w:val="left"/>
      <w:pPr>
        <w:ind w:left="5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B9661C2"/>
    <w:multiLevelType w:val="hybridMultilevel"/>
    <w:tmpl w:val="7C90010A"/>
    <w:lvl w:ilvl="0" w:tplc="4E6CFDAA">
      <w:start w:val="1"/>
      <w:numFmt w:val="decimal"/>
      <w:lvlText w:val="%1."/>
      <w:lvlJc w:val="left"/>
      <w:pPr>
        <w:ind w:left="369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A6EA9A">
      <w:start w:val="1"/>
      <w:numFmt w:val="decimal"/>
      <w:lvlText w:val="%2)"/>
      <w:lvlJc w:val="left"/>
      <w:pPr>
        <w:ind w:left="494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6487C8">
      <w:start w:val="1"/>
      <w:numFmt w:val="lowerRoman"/>
      <w:lvlText w:val="%3"/>
      <w:lvlJc w:val="left"/>
      <w:pPr>
        <w:ind w:left="1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7545EFA">
      <w:start w:val="1"/>
      <w:numFmt w:val="decimal"/>
      <w:lvlText w:val="%4"/>
      <w:lvlJc w:val="left"/>
      <w:pPr>
        <w:ind w:left="2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906F640">
      <w:start w:val="1"/>
      <w:numFmt w:val="lowerLetter"/>
      <w:lvlText w:val="%5"/>
      <w:lvlJc w:val="left"/>
      <w:pPr>
        <w:ind w:left="3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E0C75BA">
      <w:start w:val="1"/>
      <w:numFmt w:val="lowerRoman"/>
      <w:lvlText w:val="%6"/>
      <w:lvlJc w:val="left"/>
      <w:pPr>
        <w:ind w:left="3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E34E056">
      <w:start w:val="1"/>
      <w:numFmt w:val="decimal"/>
      <w:lvlText w:val="%7"/>
      <w:lvlJc w:val="left"/>
      <w:pPr>
        <w:ind w:left="4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E5620CE">
      <w:start w:val="1"/>
      <w:numFmt w:val="lowerLetter"/>
      <w:lvlText w:val="%8"/>
      <w:lvlJc w:val="left"/>
      <w:pPr>
        <w:ind w:left="5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6846CA2">
      <w:start w:val="1"/>
      <w:numFmt w:val="lowerRoman"/>
      <w:lvlText w:val="%9"/>
      <w:lvlJc w:val="left"/>
      <w:pPr>
        <w:ind w:left="59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4D1"/>
    <w:rsid w:val="00047822"/>
    <w:rsid w:val="00070F36"/>
    <w:rsid w:val="000975F0"/>
    <w:rsid w:val="001A3188"/>
    <w:rsid w:val="00263237"/>
    <w:rsid w:val="002B24D1"/>
    <w:rsid w:val="0031465A"/>
    <w:rsid w:val="0031718B"/>
    <w:rsid w:val="00321077"/>
    <w:rsid w:val="00350B6A"/>
    <w:rsid w:val="005C153C"/>
    <w:rsid w:val="00815B30"/>
    <w:rsid w:val="0087341C"/>
    <w:rsid w:val="00A82D01"/>
    <w:rsid w:val="00A84E12"/>
    <w:rsid w:val="00A85473"/>
    <w:rsid w:val="00AA254E"/>
    <w:rsid w:val="00AD1561"/>
    <w:rsid w:val="00AD33CD"/>
    <w:rsid w:val="00C51022"/>
    <w:rsid w:val="00C72D07"/>
    <w:rsid w:val="00D70707"/>
    <w:rsid w:val="00D731F4"/>
    <w:rsid w:val="00D7431D"/>
    <w:rsid w:val="00E21F0F"/>
    <w:rsid w:val="00E52169"/>
    <w:rsid w:val="00E9505A"/>
    <w:rsid w:val="00F425B2"/>
    <w:rsid w:val="00F44E8B"/>
    <w:rsid w:val="00F81E4E"/>
    <w:rsid w:val="00F8377B"/>
    <w:rsid w:val="00FB5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EDF51A-3C0D-4EA5-B7EE-C96CFC4C5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3" w:line="264" w:lineRule="auto"/>
      <w:ind w:firstLine="4"/>
      <w:jc w:val="both"/>
    </w:pPr>
    <w:rPr>
      <w:rFonts w:ascii="Calibri" w:eastAsia="Calibri" w:hAnsi="Calibri" w:cs="Calibri"/>
      <w:color w:val="000000"/>
      <w:sz w:val="26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20"/>
      <w:ind w:left="86"/>
      <w:jc w:val="center"/>
      <w:outlineLvl w:val="0"/>
    </w:pPr>
    <w:rPr>
      <w:rFonts w:ascii="Calibri" w:eastAsia="Calibri" w:hAnsi="Calibri" w:cs="Calibri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color w:val="000000"/>
      <w:sz w:val="28"/>
    </w:rPr>
  </w:style>
  <w:style w:type="character" w:styleId="Hipercze">
    <w:name w:val="Hyperlink"/>
    <w:basedOn w:val="Domylnaczcionkaakapitu"/>
    <w:uiPriority w:val="99"/>
    <w:unhideWhenUsed/>
    <w:rsid w:val="000975F0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0975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SKM_C45821012013580</vt:lpstr>
    </vt:vector>
  </TitlesOfParts>
  <Company/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SKM_C45821012013580</dc:title>
  <dc:subject/>
  <dc:creator>Zajęcka Agata</dc:creator>
  <cp:keywords/>
  <cp:lastModifiedBy>Korba Krzysztof</cp:lastModifiedBy>
  <cp:revision>2</cp:revision>
  <dcterms:created xsi:type="dcterms:W3CDTF">2022-04-04T09:36:00Z</dcterms:created>
  <dcterms:modified xsi:type="dcterms:W3CDTF">2022-04-04T09:36:00Z</dcterms:modified>
</cp:coreProperties>
</file>